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32EF" w14:textId="77777777" w:rsidR="00DE7982" w:rsidRDefault="00DE7982" w:rsidP="00DE7982">
      <w:pPr>
        <w:pStyle w:val="BodyText"/>
        <w:spacing w:before="76" w:line="360" w:lineRule="auto"/>
        <w:ind w:left="4770" w:right="4870"/>
      </w:pPr>
      <w:r>
        <w:t xml:space="preserve">Deborah Parker </w:t>
      </w:r>
    </w:p>
    <w:p w14:paraId="2C19E96B" w14:textId="1CEB2785" w:rsidR="00E25324" w:rsidRDefault="00DE7982" w:rsidP="00DE7982">
      <w:pPr>
        <w:pStyle w:val="BodyText"/>
        <w:spacing w:before="76" w:line="360" w:lineRule="auto"/>
        <w:ind w:left="900" w:right="730"/>
      </w:pPr>
      <w:r>
        <w:t>Domain</w:t>
      </w:r>
      <w:r w:rsidR="007247D2">
        <w:t xml:space="preserve"> 5</w:t>
      </w:r>
      <w:r w:rsidR="009E63B5">
        <w:t>: Collaboration</w:t>
      </w:r>
    </w:p>
    <w:p w14:paraId="791C8B9A" w14:textId="77777777" w:rsidR="00E25324" w:rsidRDefault="000E2A6E">
      <w:pPr>
        <w:pStyle w:val="BodyText"/>
        <w:spacing w:before="210"/>
        <w:ind w:left="5482" w:right="5205"/>
      </w:pPr>
      <w:r>
        <w:t>Literature Review Table</w:t>
      </w:r>
    </w:p>
    <w:p w14:paraId="57249C10" w14:textId="77777777" w:rsidR="00E25324" w:rsidRDefault="00E25324">
      <w:pPr>
        <w:pStyle w:val="BodyText"/>
        <w:jc w:val="left"/>
        <w:rPr>
          <w:sz w:val="1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4702"/>
        <w:gridCol w:w="4702"/>
      </w:tblGrid>
      <w:tr w:rsidR="00E25324" w14:paraId="1F81780A" w14:textId="77777777">
        <w:trPr>
          <w:trHeight w:val="801"/>
        </w:trPr>
        <w:tc>
          <w:tcPr>
            <w:tcW w:w="4702" w:type="dxa"/>
            <w:shd w:val="clear" w:color="auto" w:fill="BF8F00"/>
          </w:tcPr>
          <w:p w14:paraId="3283FB3D" w14:textId="77777777" w:rsidR="00E25324" w:rsidRDefault="000E2A6E">
            <w:pPr>
              <w:pStyle w:val="TableParagraph"/>
              <w:spacing w:line="503" w:lineRule="exact"/>
              <w:ind w:left="187"/>
              <w:rPr>
                <w:b/>
                <w:sz w:val="44"/>
              </w:rPr>
            </w:pPr>
            <w:r>
              <w:rPr>
                <w:b/>
                <w:sz w:val="44"/>
              </w:rPr>
              <w:t>Study (APA Citation)</w:t>
            </w:r>
          </w:p>
        </w:tc>
        <w:tc>
          <w:tcPr>
            <w:tcW w:w="4702" w:type="dxa"/>
            <w:shd w:val="clear" w:color="auto" w:fill="BF8F00"/>
          </w:tcPr>
          <w:p w14:paraId="0C4A1C72" w14:textId="77777777" w:rsidR="00E25324" w:rsidRDefault="000E2A6E">
            <w:pPr>
              <w:pStyle w:val="TableParagraph"/>
              <w:spacing w:line="503" w:lineRule="exact"/>
              <w:ind w:left="258"/>
              <w:rPr>
                <w:b/>
                <w:sz w:val="44"/>
              </w:rPr>
            </w:pPr>
            <w:r>
              <w:rPr>
                <w:b/>
                <w:sz w:val="44"/>
              </w:rPr>
              <w:t>Purpose(s) of Study</w:t>
            </w:r>
          </w:p>
        </w:tc>
        <w:tc>
          <w:tcPr>
            <w:tcW w:w="4702" w:type="dxa"/>
            <w:shd w:val="clear" w:color="auto" w:fill="BF8F00"/>
          </w:tcPr>
          <w:p w14:paraId="1231E742" w14:textId="77777777" w:rsidR="00E25324" w:rsidRDefault="000E2A6E">
            <w:pPr>
              <w:pStyle w:val="TableParagraph"/>
              <w:spacing w:line="503" w:lineRule="exact"/>
              <w:ind w:left="968"/>
              <w:rPr>
                <w:b/>
                <w:sz w:val="44"/>
              </w:rPr>
            </w:pPr>
            <w:r>
              <w:rPr>
                <w:b/>
                <w:sz w:val="44"/>
              </w:rPr>
              <w:t>Key Findings</w:t>
            </w:r>
          </w:p>
        </w:tc>
      </w:tr>
      <w:tr w:rsidR="00E25324" w14:paraId="734EC8C2" w14:textId="77777777" w:rsidTr="00AD57E5">
        <w:trPr>
          <w:trHeight w:val="1768"/>
        </w:trPr>
        <w:tc>
          <w:tcPr>
            <w:tcW w:w="4702" w:type="dxa"/>
          </w:tcPr>
          <w:p w14:paraId="44E6DFCA" w14:textId="3CC029B7" w:rsidR="00E25324" w:rsidRPr="00AD57E5" w:rsidRDefault="009E63B5" w:rsidP="00AD57E5">
            <w:pPr>
              <w:pStyle w:val="TableParagraph"/>
              <w:ind w:left="170" w:right="212"/>
              <w:rPr>
                <w:sz w:val="20"/>
                <w:szCs w:val="20"/>
              </w:rPr>
            </w:pPr>
            <w:r w:rsidRPr="00CC68CB">
              <w:rPr>
                <w:color w:val="222222"/>
                <w:sz w:val="20"/>
                <w:szCs w:val="20"/>
                <w:shd w:val="clear" w:color="auto" w:fill="FFFFFF"/>
              </w:rPr>
              <w:t>Cook, L., &amp; Friend, M. (2010). The state of the art of collaboration on behalf of students with disabilities.</w:t>
            </w:r>
            <w:r>
              <w:rPr>
                <w:color w:val="222222"/>
                <w:sz w:val="20"/>
                <w:szCs w:val="20"/>
                <w:shd w:val="clear" w:color="auto" w:fill="FFFFFF"/>
              </w:rPr>
              <w:t> </w:t>
            </w:r>
            <w:r>
              <w:rPr>
                <w:i/>
                <w:iCs/>
                <w:color w:val="222222"/>
                <w:sz w:val="20"/>
                <w:szCs w:val="20"/>
                <w:shd w:val="clear" w:color="auto" w:fill="FFFFFF"/>
              </w:rPr>
              <w:t>Journal of Educational and Psychological Consultation</w:t>
            </w:r>
            <w:r>
              <w:rPr>
                <w:color w:val="222222"/>
                <w:sz w:val="20"/>
                <w:szCs w:val="20"/>
                <w:shd w:val="clear" w:color="auto" w:fill="FFFFFF"/>
              </w:rPr>
              <w:t>, </w:t>
            </w:r>
            <w:r>
              <w:rPr>
                <w:i/>
                <w:iCs/>
                <w:color w:val="222222"/>
                <w:sz w:val="20"/>
                <w:szCs w:val="20"/>
                <w:shd w:val="clear" w:color="auto" w:fill="FFFFFF"/>
              </w:rPr>
              <w:t>20</w:t>
            </w:r>
            <w:r>
              <w:rPr>
                <w:color w:val="222222"/>
                <w:sz w:val="20"/>
                <w:szCs w:val="20"/>
                <w:shd w:val="clear" w:color="auto" w:fill="FFFFFF"/>
              </w:rPr>
              <w:t>(1), 1-8.</w:t>
            </w:r>
          </w:p>
        </w:tc>
        <w:tc>
          <w:tcPr>
            <w:tcW w:w="4702" w:type="dxa"/>
          </w:tcPr>
          <w:p w14:paraId="6724859D" w14:textId="24405E59" w:rsidR="00AD57E5" w:rsidRDefault="009E63B5" w:rsidP="00223BC0">
            <w:pPr>
              <w:pStyle w:val="TableParagraph"/>
              <w:ind w:left="148" w:right="144"/>
              <w:rPr>
                <w:b/>
                <w:color w:val="2D3B45"/>
                <w:sz w:val="20"/>
                <w:szCs w:val="20"/>
                <w:shd w:val="clear" w:color="auto" w:fill="FFFFFF"/>
              </w:rPr>
            </w:pPr>
            <w:r w:rsidRPr="009E63B5">
              <w:rPr>
                <w:b/>
                <w:sz w:val="20"/>
                <w:szCs w:val="20"/>
              </w:rPr>
              <w:t xml:space="preserve">Competency: </w:t>
            </w:r>
            <w:r w:rsidRPr="009E63B5">
              <w:rPr>
                <w:b/>
                <w:color w:val="2D3B45"/>
                <w:sz w:val="20"/>
                <w:szCs w:val="20"/>
                <w:shd w:val="clear" w:color="auto" w:fill="FFFFFF"/>
              </w:rPr>
              <w:t>5.1 Work cooperatively with services, networks, and organizations for individuals, professionals, and families with ASD.</w:t>
            </w:r>
          </w:p>
          <w:p w14:paraId="547043BD" w14:textId="28D9947C" w:rsidR="00051192" w:rsidRPr="00051192" w:rsidRDefault="00051192" w:rsidP="00223BC0">
            <w:pPr>
              <w:pStyle w:val="TableParagraph"/>
              <w:ind w:left="148" w:right="144"/>
              <w:rPr>
                <w:color w:val="2D3B45"/>
                <w:sz w:val="20"/>
                <w:szCs w:val="20"/>
                <w:shd w:val="clear" w:color="auto" w:fill="FFFFFF"/>
              </w:rPr>
            </w:pPr>
            <w:r>
              <w:rPr>
                <w:color w:val="2D3B45"/>
                <w:sz w:val="20"/>
                <w:szCs w:val="20"/>
                <w:shd w:val="clear" w:color="auto" w:fill="FFFFFF"/>
              </w:rPr>
              <w:t xml:space="preserve">As a teacher, I want to provide my students with the best education I can. </w:t>
            </w:r>
            <w:proofErr w:type="gramStart"/>
            <w:r>
              <w:rPr>
                <w:color w:val="2D3B45"/>
                <w:sz w:val="20"/>
                <w:szCs w:val="20"/>
                <w:shd w:val="clear" w:color="auto" w:fill="FFFFFF"/>
              </w:rPr>
              <w:t>In order to</w:t>
            </w:r>
            <w:proofErr w:type="gramEnd"/>
            <w:r>
              <w:rPr>
                <w:color w:val="2D3B45"/>
                <w:sz w:val="20"/>
                <w:szCs w:val="20"/>
                <w:shd w:val="clear" w:color="auto" w:fill="FFFFFF"/>
              </w:rPr>
              <w:t xml:space="preserve"> do so it is important that I work cooperatively with others to learn the most supported techniques to teach my students.</w:t>
            </w:r>
          </w:p>
          <w:p w14:paraId="0F9E9535" w14:textId="77777777" w:rsidR="009E63B5" w:rsidRDefault="009E63B5" w:rsidP="00223BC0">
            <w:pPr>
              <w:pStyle w:val="TableParagraph"/>
              <w:ind w:left="148" w:right="144"/>
              <w:rPr>
                <w:b/>
                <w:sz w:val="20"/>
                <w:szCs w:val="20"/>
              </w:rPr>
            </w:pPr>
          </w:p>
          <w:p w14:paraId="7A3213ED" w14:textId="6E3352CC" w:rsidR="009E63B5" w:rsidRDefault="009E63B5" w:rsidP="00223BC0">
            <w:pPr>
              <w:pStyle w:val="TableParagraph"/>
              <w:ind w:left="148" w:right="144"/>
              <w:rPr>
                <w:b/>
                <w:sz w:val="20"/>
                <w:szCs w:val="20"/>
              </w:rPr>
            </w:pPr>
            <w:r>
              <w:rPr>
                <w:b/>
                <w:sz w:val="20"/>
                <w:szCs w:val="20"/>
              </w:rPr>
              <w:t>Purpose:</w:t>
            </w:r>
          </w:p>
          <w:p w14:paraId="41FC44EF" w14:textId="76F0B8C0" w:rsidR="009E63B5" w:rsidRPr="009E63B5" w:rsidRDefault="009E63B5" w:rsidP="00223BC0">
            <w:pPr>
              <w:pStyle w:val="TableParagraph"/>
              <w:ind w:left="148" w:right="144"/>
              <w:rPr>
                <w:sz w:val="20"/>
                <w:szCs w:val="20"/>
              </w:rPr>
            </w:pPr>
            <w:r>
              <w:rPr>
                <w:sz w:val="20"/>
                <w:szCs w:val="20"/>
              </w:rPr>
              <w:t xml:space="preserve">The purpose of this article is to discuss collaboration and its importance in Special Education. Included is a summary of the evolution of collaboration, especially regarding </w:t>
            </w:r>
            <w:r w:rsidR="00CC68CB">
              <w:rPr>
                <w:sz w:val="20"/>
                <w:szCs w:val="20"/>
              </w:rPr>
              <w:t xml:space="preserve">IDEA and NCLB, and what collaboration </w:t>
            </w:r>
            <w:proofErr w:type="gramStart"/>
            <w:r w:rsidR="00CC68CB">
              <w:rPr>
                <w:sz w:val="20"/>
                <w:szCs w:val="20"/>
              </w:rPr>
              <w:t>is</w:t>
            </w:r>
            <w:proofErr w:type="gramEnd"/>
            <w:r w:rsidR="00CC68CB">
              <w:rPr>
                <w:sz w:val="20"/>
                <w:szCs w:val="20"/>
              </w:rPr>
              <w:t xml:space="preserve"> and the concerns of research related to collaboration in Special Education.</w:t>
            </w:r>
          </w:p>
          <w:p w14:paraId="73609666" w14:textId="43464782" w:rsidR="009E63B5" w:rsidRPr="009E63B5" w:rsidRDefault="009E63B5" w:rsidP="00223BC0">
            <w:pPr>
              <w:pStyle w:val="TableParagraph"/>
              <w:ind w:left="148" w:right="144"/>
              <w:rPr>
                <w:sz w:val="20"/>
                <w:szCs w:val="20"/>
              </w:rPr>
            </w:pPr>
          </w:p>
        </w:tc>
        <w:tc>
          <w:tcPr>
            <w:tcW w:w="4702" w:type="dxa"/>
          </w:tcPr>
          <w:p w14:paraId="5B76B01A" w14:textId="71E38778" w:rsidR="00E25324" w:rsidRPr="00AD57E5" w:rsidRDefault="00CC68CB" w:rsidP="00AD57E5">
            <w:pPr>
              <w:pStyle w:val="TableParagraph"/>
              <w:ind w:left="216" w:right="166"/>
              <w:rPr>
                <w:sz w:val="20"/>
                <w:szCs w:val="20"/>
              </w:rPr>
            </w:pPr>
            <w:r>
              <w:rPr>
                <w:sz w:val="20"/>
                <w:szCs w:val="20"/>
              </w:rPr>
              <w:t>The authors focused on the importance of collaboration in Special Education and doing it correctly. Critical concepts were discussed as they can be very confusing due to Legislative changes. Information was given about contemporary approaches to education students with special needs and working with others in providing the best instruction possible. The importance of including school psychologists, counselors, special and general education teachers and others working with the student in this collaboration was also included.</w:t>
            </w:r>
          </w:p>
        </w:tc>
      </w:tr>
      <w:tr w:rsidR="00E25324" w14:paraId="298B2ECF" w14:textId="77777777" w:rsidTr="000717DD">
        <w:trPr>
          <w:trHeight w:val="3361"/>
        </w:trPr>
        <w:tc>
          <w:tcPr>
            <w:tcW w:w="4702" w:type="dxa"/>
          </w:tcPr>
          <w:p w14:paraId="3078A939" w14:textId="5EE487E1" w:rsidR="00E25324" w:rsidRPr="00701DAC" w:rsidRDefault="00CC68CB" w:rsidP="00701DAC">
            <w:pPr>
              <w:pStyle w:val="TableParagraph"/>
              <w:ind w:left="260" w:right="212"/>
              <w:rPr>
                <w:sz w:val="20"/>
                <w:szCs w:val="20"/>
              </w:rPr>
            </w:pPr>
            <w:r w:rsidRPr="00CC68CB">
              <w:rPr>
                <w:sz w:val="20"/>
                <w:szCs w:val="20"/>
              </w:rPr>
              <w:t>Coutinho, M. J., &amp; Oswald, D. P. (2004). Disproportionate representation of culturally and linguistically diverse students in special education: Measuring the problem. </w:t>
            </w:r>
            <w:r w:rsidRPr="00CC68CB">
              <w:rPr>
                <w:i/>
                <w:iCs/>
                <w:sz w:val="20"/>
                <w:szCs w:val="20"/>
              </w:rPr>
              <w:t>Practitioner Brief Series: National Center for Culturally Responsive Educational Systems</w:t>
            </w:r>
            <w:r w:rsidRPr="00CC68CB">
              <w:rPr>
                <w:sz w:val="20"/>
                <w:szCs w:val="20"/>
              </w:rPr>
              <w:t>.</w:t>
            </w:r>
          </w:p>
        </w:tc>
        <w:tc>
          <w:tcPr>
            <w:tcW w:w="4702" w:type="dxa"/>
          </w:tcPr>
          <w:p w14:paraId="5632F4B5" w14:textId="3E2220E7" w:rsidR="003C37D4" w:rsidRDefault="00701DAC" w:rsidP="00CC68CB">
            <w:pPr>
              <w:pStyle w:val="TableParagraph"/>
              <w:ind w:left="148" w:right="234"/>
              <w:rPr>
                <w:b/>
                <w:sz w:val="20"/>
                <w:szCs w:val="20"/>
              </w:rPr>
            </w:pPr>
            <w:r>
              <w:rPr>
                <w:b/>
                <w:sz w:val="20"/>
                <w:szCs w:val="20"/>
              </w:rPr>
              <w:t>Competency:</w:t>
            </w:r>
            <w:r w:rsidR="00594E48">
              <w:rPr>
                <w:b/>
                <w:sz w:val="20"/>
                <w:szCs w:val="20"/>
              </w:rPr>
              <w:t xml:space="preserve"> </w:t>
            </w:r>
            <w:r w:rsidR="00CC68CB" w:rsidRPr="00CC68CB">
              <w:rPr>
                <w:b/>
                <w:sz w:val="20"/>
                <w:szCs w:val="20"/>
              </w:rPr>
              <w:t>5.6 Promote collaborative practices that respect individual family culture, dynamics, and values and the effect the diagnosis may have on the family.</w:t>
            </w:r>
          </w:p>
          <w:p w14:paraId="3E551F2D" w14:textId="76DDDED1" w:rsidR="00051192" w:rsidRDefault="00051192" w:rsidP="00051192">
            <w:pPr>
              <w:pStyle w:val="TableParagraph"/>
              <w:ind w:right="234"/>
              <w:rPr>
                <w:sz w:val="20"/>
                <w:szCs w:val="20"/>
              </w:rPr>
            </w:pPr>
            <w:r>
              <w:rPr>
                <w:sz w:val="20"/>
                <w:szCs w:val="20"/>
              </w:rPr>
              <w:t xml:space="preserve">   Many cultures look at disabilities differently than  </w:t>
            </w:r>
          </w:p>
          <w:p w14:paraId="38B9FA9A" w14:textId="078588C8" w:rsidR="00051192" w:rsidRDefault="00051192" w:rsidP="00051192">
            <w:pPr>
              <w:pStyle w:val="TableParagraph"/>
              <w:ind w:right="234"/>
              <w:rPr>
                <w:sz w:val="20"/>
                <w:szCs w:val="20"/>
              </w:rPr>
            </w:pPr>
            <w:r>
              <w:rPr>
                <w:sz w:val="20"/>
                <w:szCs w:val="20"/>
              </w:rPr>
              <w:t xml:space="preserve">   </w:t>
            </w:r>
            <w:r>
              <w:rPr>
                <w:sz w:val="20"/>
                <w:szCs w:val="20"/>
              </w:rPr>
              <w:t>we do in the US.</w:t>
            </w:r>
            <w:r w:rsidR="00486ACD">
              <w:rPr>
                <w:sz w:val="20"/>
                <w:szCs w:val="20"/>
              </w:rPr>
              <w:t xml:space="preserve"> Parents can be hearing things</w:t>
            </w:r>
          </w:p>
          <w:p w14:paraId="28DD1F13" w14:textId="434C9ECB" w:rsidR="00486ACD" w:rsidRDefault="00486ACD" w:rsidP="00051192">
            <w:pPr>
              <w:pStyle w:val="TableParagraph"/>
              <w:ind w:right="234"/>
              <w:rPr>
                <w:sz w:val="20"/>
                <w:szCs w:val="20"/>
              </w:rPr>
            </w:pPr>
            <w:r>
              <w:rPr>
                <w:sz w:val="20"/>
                <w:szCs w:val="20"/>
              </w:rPr>
              <w:t xml:space="preserve">   from their friends that confuse them and if they </w:t>
            </w:r>
          </w:p>
          <w:p w14:paraId="6D74B613" w14:textId="419CADB7" w:rsidR="00486ACD" w:rsidRDefault="00486ACD" w:rsidP="00051192">
            <w:pPr>
              <w:pStyle w:val="TableParagraph"/>
              <w:ind w:right="234"/>
              <w:rPr>
                <w:sz w:val="20"/>
                <w:szCs w:val="20"/>
              </w:rPr>
            </w:pPr>
            <w:r>
              <w:rPr>
                <w:sz w:val="20"/>
                <w:szCs w:val="20"/>
              </w:rPr>
              <w:t xml:space="preserve">   don’t understand the correct information </w:t>
            </w:r>
          </w:p>
          <w:p w14:paraId="32C11CA0" w14:textId="778A5445" w:rsidR="00486ACD" w:rsidRDefault="00486ACD" w:rsidP="00051192">
            <w:pPr>
              <w:pStyle w:val="TableParagraph"/>
              <w:ind w:right="234"/>
              <w:rPr>
                <w:sz w:val="20"/>
                <w:szCs w:val="20"/>
              </w:rPr>
            </w:pPr>
            <w:r>
              <w:rPr>
                <w:sz w:val="20"/>
                <w:szCs w:val="20"/>
              </w:rPr>
              <w:t xml:space="preserve">   themselves they can get discouraged. It is vital </w:t>
            </w:r>
          </w:p>
          <w:p w14:paraId="10CFCA30" w14:textId="63987064" w:rsidR="00486ACD" w:rsidRDefault="00486ACD" w:rsidP="00051192">
            <w:pPr>
              <w:pStyle w:val="TableParagraph"/>
              <w:ind w:right="234"/>
              <w:rPr>
                <w:sz w:val="20"/>
                <w:szCs w:val="20"/>
              </w:rPr>
            </w:pPr>
            <w:r>
              <w:rPr>
                <w:sz w:val="20"/>
                <w:szCs w:val="20"/>
              </w:rPr>
              <w:t xml:space="preserve">   that I make sure my parents know the correct</w:t>
            </w:r>
          </w:p>
          <w:p w14:paraId="6A1C8C16" w14:textId="46803B2E" w:rsidR="00486ACD" w:rsidRDefault="00486ACD" w:rsidP="00051192">
            <w:pPr>
              <w:pStyle w:val="TableParagraph"/>
              <w:ind w:right="234"/>
              <w:rPr>
                <w:sz w:val="20"/>
                <w:szCs w:val="20"/>
              </w:rPr>
            </w:pPr>
            <w:r>
              <w:rPr>
                <w:sz w:val="20"/>
                <w:szCs w:val="20"/>
              </w:rPr>
              <w:t xml:space="preserve">   information so they can be supportive of </w:t>
            </w:r>
            <w:proofErr w:type="gramStart"/>
            <w:r>
              <w:rPr>
                <w:sz w:val="20"/>
                <w:szCs w:val="20"/>
              </w:rPr>
              <w:t>their</w:t>
            </w:r>
            <w:proofErr w:type="gramEnd"/>
          </w:p>
          <w:p w14:paraId="406B247C" w14:textId="62891FE9" w:rsidR="00486ACD" w:rsidRPr="003C37D4" w:rsidRDefault="00486ACD" w:rsidP="00051192">
            <w:pPr>
              <w:pStyle w:val="TableParagraph"/>
              <w:ind w:right="234"/>
              <w:rPr>
                <w:sz w:val="20"/>
                <w:szCs w:val="20"/>
              </w:rPr>
            </w:pPr>
            <w:r>
              <w:rPr>
                <w:sz w:val="20"/>
                <w:szCs w:val="20"/>
              </w:rPr>
              <w:t xml:space="preserve">   children.</w:t>
            </w:r>
          </w:p>
          <w:p w14:paraId="7BE2A588" w14:textId="77777777" w:rsidR="000717DD" w:rsidRDefault="000717DD" w:rsidP="00701DAC">
            <w:pPr>
              <w:pStyle w:val="TableParagraph"/>
              <w:ind w:left="148" w:right="234"/>
              <w:rPr>
                <w:sz w:val="20"/>
                <w:szCs w:val="20"/>
              </w:rPr>
            </w:pPr>
          </w:p>
          <w:p w14:paraId="40F5542F" w14:textId="77777777" w:rsidR="000717DD" w:rsidRDefault="000717DD" w:rsidP="00701DAC">
            <w:pPr>
              <w:pStyle w:val="TableParagraph"/>
              <w:ind w:left="148" w:right="234"/>
              <w:rPr>
                <w:b/>
                <w:sz w:val="20"/>
                <w:szCs w:val="20"/>
              </w:rPr>
            </w:pPr>
            <w:r>
              <w:rPr>
                <w:b/>
                <w:sz w:val="20"/>
                <w:szCs w:val="20"/>
              </w:rPr>
              <w:t>Purpose:</w:t>
            </w:r>
          </w:p>
          <w:p w14:paraId="2E9A4510" w14:textId="1BA3D2E3" w:rsidR="000717DD" w:rsidRPr="000717DD" w:rsidRDefault="00CC68CB" w:rsidP="00CC68CB">
            <w:pPr>
              <w:pStyle w:val="TableParagraph"/>
              <w:ind w:left="148" w:right="234"/>
              <w:rPr>
                <w:sz w:val="20"/>
                <w:szCs w:val="20"/>
              </w:rPr>
            </w:pPr>
            <w:r>
              <w:rPr>
                <w:sz w:val="20"/>
                <w:szCs w:val="20"/>
              </w:rPr>
              <w:t xml:space="preserve">This article focused on the number of students in Special Education </w:t>
            </w:r>
            <w:r w:rsidR="00000A59">
              <w:rPr>
                <w:sz w:val="20"/>
                <w:szCs w:val="20"/>
              </w:rPr>
              <w:t xml:space="preserve">of culturally and linguistically diverse students. According to the article IDEA entitles all individuals with </w:t>
            </w:r>
            <w:r w:rsidR="00000A59">
              <w:rPr>
                <w:sz w:val="20"/>
                <w:szCs w:val="20"/>
              </w:rPr>
              <w:lastRenderedPageBreak/>
              <w:t>disabilities to free appropriate education and mandates nondiscriminatory assessment, identification, and placement.</w:t>
            </w:r>
          </w:p>
        </w:tc>
        <w:tc>
          <w:tcPr>
            <w:tcW w:w="4702" w:type="dxa"/>
          </w:tcPr>
          <w:p w14:paraId="426F3E2E" w14:textId="24E890DB" w:rsidR="00E25324" w:rsidRDefault="00000A59" w:rsidP="000717DD">
            <w:pPr>
              <w:pStyle w:val="TableParagraph"/>
              <w:ind w:left="306" w:right="256"/>
              <w:rPr>
                <w:sz w:val="20"/>
                <w:szCs w:val="20"/>
              </w:rPr>
            </w:pPr>
            <w:r>
              <w:rPr>
                <w:sz w:val="20"/>
                <w:szCs w:val="20"/>
              </w:rPr>
              <w:lastRenderedPageBreak/>
              <w:t>One finding of interest was that there should be an increase of the appropriateness of assessment practices and more appropriate instruction for meeting the special needs of diverse learners. I agree with this as many of the students I have received that are ESL do not understand or speak English. Therefore, I’m confused as to how they have been appropriately diagnosed with autism using English based assessments.</w:t>
            </w:r>
          </w:p>
          <w:p w14:paraId="6CED17E4" w14:textId="77777777" w:rsidR="00000A59" w:rsidRDefault="00000A59" w:rsidP="000717DD">
            <w:pPr>
              <w:pStyle w:val="TableParagraph"/>
              <w:ind w:left="306" w:right="256"/>
              <w:rPr>
                <w:sz w:val="20"/>
                <w:szCs w:val="20"/>
              </w:rPr>
            </w:pPr>
          </w:p>
          <w:p w14:paraId="6F584CE7" w14:textId="40B14D3E" w:rsidR="00000A59" w:rsidRPr="00701DAC" w:rsidRDefault="00000A59" w:rsidP="00000A59">
            <w:pPr>
              <w:pStyle w:val="NormalWeb"/>
              <w:shd w:val="clear" w:color="auto" w:fill="FFFFFF"/>
              <w:spacing w:before="0" w:beforeAutospacing="0" w:after="0" w:afterAutospacing="0" w:line="225" w:lineRule="atLeast"/>
              <w:rPr>
                <w:sz w:val="20"/>
                <w:szCs w:val="20"/>
              </w:rPr>
            </w:pPr>
          </w:p>
        </w:tc>
      </w:tr>
      <w:tr w:rsidR="00E25324" w14:paraId="788B8206" w14:textId="77777777">
        <w:trPr>
          <w:trHeight w:val="1257"/>
        </w:trPr>
        <w:tc>
          <w:tcPr>
            <w:tcW w:w="4702" w:type="dxa"/>
          </w:tcPr>
          <w:p w14:paraId="5B8F7C76" w14:textId="792D7B34" w:rsidR="00E25324" w:rsidRPr="00701DAC" w:rsidRDefault="007247D2" w:rsidP="00CC656E">
            <w:pPr>
              <w:pStyle w:val="TableParagraph"/>
              <w:ind w:left="170" w:right="212"/>
              <w:rPr>
                <w:sz w:val="20"/>
                <w:szCs w:val="20"/>
              </w:rPr>
            </w:pPr>
            <w:proofErr w:type="spellStart"/>
            <w:r>
              <w:rPr>
                <w:color w:val="222222"/>
                <w:sz w:val="20"/>
                <w:szCs w:val="20"/>
                <w:shd w:val="clear" w:color="auto" w:fill="FFFFFF"/>
              </w:rPr>
              <w:t>Waitoller</w:t>
            </w:r>
            <w:proofErr w:type="spellEnd"/>
            <w:r>
              <w:rPr>
                <w:color w:val="222222"/>
                <w:sz w:val="20"/>
                <w:szCs w:val="20"/>
                <w:shd w:val="clear" w:color="auto" w:fill="FFFFFF"/>
              </w:rPr>
              <w:t xml:space="preserve">, F. R., &amp; </w:t>
            </w:r>
            <w:proofErr w:type="spellStart"/>
            <w:r>
              <w:rPr>
                <w:color w:val="222222"/>
                <w:sz w:val="20"/>
                <w:szCs w:val="20"/>
                <w:shd w:val="clear" w:color="auto" w:fill="FFFFFF"/>
              </w:rPr>
              <w:t>Kozleski</w:t>
            </w:r>
            <w:proofErr w:type="spellEnd"/>
            <w:r>
              <w:rPr>
                <w:color w:val="222222"/>
                <w:sz w:val="20"/>
                <w:szCs w:val="20"/>
                <w:shd w:val="clear" w:color="auto" w:fill="FFFFFF"/>
              </w:rPr>
              <w:t>, E. B. (2013). Working in boundary practices: Identity development and learning in partnerships for inclusive education. </w:t>
            </w:r>
            <w:r>
              <w:rPr>
                <w:i/>
                <w:iCs/>
                <w:color w:val="222222"/>
                <w:sz w:val="20"/>
                <w:szCs w:val="20"/>
                <w:shd w:val="clear" w:color="auto" w:fill="FFFFFF"/>
              </w:rPr>
              <w:t>Teaching and Teacher Education</w:t>
            </w:r>
            <w:r>
              <w:rPr>
                <w:color w:val="222222"/>
                <w:sz w:val="20"/>
                <w:szCs w:val="20"/>
                <w:shd w:val="clear" w:color="auto" w:fill="FFFFFF"/>
              </w:rPr>
              <w:t>, </w:t>
            </w:r>
            <w:r>
              <w:rPr>
                <w:i/>
                <w:iCs/>
                <w:color w:val="222222"/>
                <w:sz w:val="20"/>
                <w:szCs w:val="20"/>
                <w:shd w:val="clear" w:color="auto" w:fill="FFFFFF"/>
              </w:rPr>
              <w:t>31</w:t>
            </w:r>
            <w:r>
              <w:rPr>
                <w:color w:val="222222"/>
                <w:sz w:val="20"/>
                <w:szCs w:val="20"/>
                <w:shd w:val="clear" w:color="auto" w:fill="FFFFFF"/>
              </w:rPr>
              <w:t>, 35-45.</w:t>
            </w:r>
          </w:p>
        </w:tc>
        <w:tc>
          <w:tcPr>
            <w:tcW w:w="4702" w:type="dxa"/>
          </w:tcPr>
          <w:p w14:paraId="03CC2D56" w14:textId="419A2528" w:rsidR="00CC656E" w:rsidRDefault="007247D2" w:rsidP="003C37D4">
            <w:pPr>
              <w:pStyle w:val="TableParagraph"/>
              <w:ind w:left="148" w:right="234"/>
              <w:rPr>
                <w:b/>
                <w:sz w:val="20"/>
                <w:szCs w:val="20"/>
              </w:rPr>
            </w:pPr>
            <w:r>
              <w:rPr>
                <w:b/>
                <w:sz w:val="20"/>
                <w:szCs w:val="20"/>
              </w:rPr>
              <w:t xml:space="preserve">Competency: </w:t>
            </w:r>
            <w:r w:rsidR="00921A88">
              <w:rPr>
                <w:b/>
                <w:sz w:val="20"/>
                <w:szCs w:val="20"/>
              </w:rPr>
              <w:t>5.5: Collaborate with families and other team members in nonjudgmental ways to make informed decisions about interventions and life planning.</w:t>
            </w:r>
          </w:p>
          <w:p w14:paraId="51903E81" w14:textId="20532D3F" w:rsidR="00486ACD" w:rsidRPr="00486ACD" w:rsidRDefault="00486ACD" w:rsidP="003C37D4">
            <w:pPr>
              <w:pStyle w:val="TableParagraph"/>
              <w:ind w:left="148" w:right="234"/>
              <w:rPr>
                <w:sz w:val="20"/>
                <w:szCs w:val="20"/>
              </w:rPr>
            </w:pPr>
            <w:r w:rsidRPr="00486ACD">
              <w:rPr>
                <w:sz w:val="20"/>
                <w:szCs w:val="20"/>
              </w:rPr>
              <w:t xml:space="preserve">Teachers need to </w:t>
            </w:r>
            <w:r>
              <w:rPr>
                <w:sz w:val="20"/>
                <w:szCs w:val="20"/>
              </w:rPr>
              <w:t>help support their students and families in making plans for their child’s future. They need to put their own pride aside and collaborate with others to support their parents in the best way possible.</w:t>
            </w:r>
          </w:p>
          <w:p w14:paraId="0B995383" w14:textId="77777777" w:rsidR="007247D2" w:rsidRDefault="007247D2" w:rsidP="003C37D4">
            <w:pPr>
              <w:pStyle w:val="TableParagraph"/>
              <w:ind w:left="148" w:right="234"/>
              <w:rPr>
                <w:b/>
                <w:sz w:val="20"/>
                <w:szCs w:val="20"/>
              </w:rPr>
            </w:pPr>
          </w:p>
          <w:p w14:paraId="637C99F5" w14:textId="77777777" w:rsidR="007247D2" w:rsidRDefault="007247D2" w:rsidP="003C37D4">
            <w:pPr>
              <w:pStyle w:val="TableParagraph"/>
              <w:ind w:left="148" w:right="234"/>
              <w:rPr>
                <w:b/>
                <w:sz w:val="20"/>
                <w:szCs w:val="20"/>
              </w:rPr>
            </w:pPr>
            <w:r>
              <w:rPr>
                <w:b/>
                <w:sz w:val="20"/>
                <w:szCs w:val="20"/>
              </w:rPr>
              <w:t>Purpose:</w:t>
            </w:r>
          </w:p>
          <w:p w14:paraId="798C838F" w14:textId="1E81F346" w:rsidR="007247D2" w:rsidRPr="007247D2" w:rsidRDefault="007247D2" w:rsidP="003C37D4">
            <w:pPr>
              <w:pStyle w:val="TableParagraph"/>
              <w:ind w:left="148" w:right="234"/>
              <w:rPr>
                <w:sz w:val="20"/>
                <w:szCs w:val="20"/>
              </w:rPr>
            </w:pPr>
            <w:r>
              <w:rPr>
                <w:sz w:val="20"/>
                <w:szCs w:val="20"/>
              </w:rPr>
              <w:t>The article discussed the trend of promoting partnerships for inclusive education that share responsibility for teachers’ and students’ learning, but how collaboration across institutions and professions can become complex. The paper advances tools to examine and understand the work of these education partnerships. The authors illustrated theory with examples from their own work in a professional learning school and offered recommendations for teacher learning in teacher education programs.</w:t>
            </w:r>
          </w:p>
        </w:tc>
        <w:tc>
          <w:tcPr>
            <w:tcW w:w="4702" w:type="dxa"/>
          </w:tcPr>
          <w:p w14:paraId="1E9FEE73" w14:textId="73BC0107" w:rsidR="00E25324" w:rsidRPr="00701DAC" w:rsidRDefault="00921A88" w:rsidP="00AB6886">
            <w:pPr>
              <w:pStyle w:val="TableParagraph"/>
              <w:ind w:left="306" w:right="256"/>
              <w:rPr>
                <w:sz w:val="20"/>
                <w:szCs w:val="20"/>
              </w:rPr>
            </w:pPr>
            <w:r>
              <w:rPr>
                <w:sz w:val="20"/>
                <w:szCs w:val="20"/>
              </w:rPr>
              <w:t xml:space="preserve">The article notes the movement is encouraging clinical based experiences in teacher planning and shared responsibility between universities and districts for teacher and student learning. Their concern is that there is little knowledge regarding the kinds of tensions, learning, and identities that develop when these communities engage in a partnership. The paper suggested the boundary practices that occur should be examined so these concerns could be addressed. </w:t>
            </w:r>
          </w:p>
        </w:tc>
      </w:tr>
      <w:tr w:rsidR="00E25324" w14:paraId="5D5D155D" w14:textId="77777777">
        <w:trPr>
          <w:trHeight w:val="1333"/>
        </w:trPr>
        <w:tc>
          <w:tcPr>
            <w:tcW w:w="4702" w:type="dxa"/>
          </w:tcPr>
          <w:p w14:paraId="1B080EA0" w14:textId="31FB90D8" w:rsidR="00E25324" w:rsidRPr="00701DAC" w:rsidRDefault="00832FC7" w:rsidP="00701DAC">
            <w:pPr>
              <w:pStyle w:val="TableParagraph"/>
              <w:ind w:left="260" w:right="212"/>
              <w:rPr>
                <w:sz w:val="20"/>
                <w:szCs w:val="20"/>
              </w:rPr>
            </w:pPr>
            <w:r>
              <w:rPr>
                <w:color w:val="222222"/>
                <w:sz w:val="20"/>
                <w:szCs w:val="20"/>
                <w:shd w:val="clear" w:color="auto" w:fill="FFFFFF"/>
              </w:rPr>
              <w:t xml:space="preserve">Scruggs, T. E., Mastropieri, M. A., &amp; McDuffie, K. A. (2007). Co-teaching in inclusive classrooms: A </w:t>
            </w:r>
            <w:proofErr w:type="spellStart"/>
            <w:r>
              <w:rPr>
                <w:color w:val="222222"/>
                <w:sz w:val="20"/>
                <w:szCs w:val="20"/>
                <w:shd w:val="clear" w:color="auto" w:fill="FFFFFF"/>
              </w:rPr>
              <w:t>metasynthesis</w:t>
            </w:r>
            <w:proofErr w:type="spellEnd"/>
            <w:r>
              <w:rPr>
                <w:color w:val="222222"/>
                <w:sz w:val="20"/>
                <w:szCs w:val="20"/>
                <w:shd w:val="clear" w:color="auto" w:fill="FFFFFF"/>
              </w:rPr>
              <w:t xml:space="preserve"> of qualitative research. </w:t>
            </w:r>
            <w:r>
              <w:rPr>
                <w:i/>
                <w:iCs/>
                <w:color w:val="222222"/>
                <w:sz w:val="20"/>
                <w:szCs w:val="20"/>
                <w:shd w:val="clear" w:color="auto" w:fill="FFFFFF"/>
              </w:rPr>
              <w:t>Exceptional Children</w:t>
            </w:r>
            <w:r>
              <w:rPr>
                <w:color w:val="222222"/>
                <w:sz w:val="20"/>
                <w:szCs w:val="20"/>
                <w:shd w:val="clear" w:color="auto" w:fill="FFFFFF"/>
              </w:rPr>
              <w:t>, </w:t>
            </w:r>
            <w:r>
              <w:rPr>
                <w:i/>
                <w:iCs/>
                <w:color w:val="222222"/>
                <w:sz w:val="20"/>
                <w:szCs w:val="20"/>
                <w:shd w:val="clear" w:color="auto" w:fill="FFFFFF"/>
              </w:rPr>
              <w:t>73</w:t>
            </w:r>
            <w:r>
              <w:rPr>
                <w:color w:val="222222"/>
                <w:sz w:val="20"/>
                <w:szCs w:val="20"/>
                <w:shd w:val="clear" w:color="auto" w:fill="FFFFFF"/>
              </w:rPr>
              <w:t>(4), 392-416.</w:t>
            </w:r>
          </w:p>
        </w:tc>
        <w:tc>
          <w:tcPr>
            <w:tcW w:w="4702" w:type="dxa"/>
          </w:tcPr>
          <w:p w14:paraId="0B120B7A" w14:textId="22E84994" w:rsidR="00EB5F24" w:rsidRDefault="002B6CF8" w:rsidP="00583E18">
            <w:pPr>
              <w:pStyle w:val="TableParagraph"/>
              <w:ind w:left="138" w:right="234"/>
              <w:rPr>
                <w:b/>
                <w:sz w:val="20"/>
                <w:szCs w:val="20"/>
              </w:rPr>
            </w:pPr>
            <w:r>
              <w:rPr>
                <w:b/>
                <w:sz w:val="20"/>
                <w:szCs w:val="20"/>
              </w:rPr>
              <w:t xml:space="preserve">Competency: </w:t>
            </w:r>
            <w:r w:rsidR="00237922" w:rsidRPr="00237922">
              <w:rPr>
                <w:b/>
                <w:sz w:val="20"/>
                <w:szCs w:val="20"/>
              </w:rPr>
              <w:t>5.5 Collaborate with families and other team members in nonjudgmental ways to make informed decisions about interventions and life planning.</w:t>
            </w:r>
          </w:p>
          <w:p w14:paraId="18EFE32F" w14:textId="1CC5FED1" w:rsidR="00583E18" w:rsidRPr="00EB5F24" w:rsidRDefault="00486ACD" w:rsidP="00583E18">
            <w:pPr>
              <w:pStyle w:val="TableParagraph"/>
              <w:ind w:left="138" w:right="234"/>
              <w:rPr>
                <w:sz w:val="20"/>
                <w:szCs w:val="20"/>
              </w:rPr>
            </w:pPr>
            <w:r>
              <w:rPr>
                <w:sz w:val="20"/>
                <w:szCs w:val="20"/>
              </w:rPr>
              <w:t>Before embarking on a co-teaching journey, teachers need to look at the concerns that have been made in the past and work with their partner to make sure each teacher is used appropriately to offer the students the best education possible.</w:t>
            </w:r>
          </w:p>
          <w:p w14:paraId="4E4F013D" w14:textId="77777777" w:rsidR="002B6CF8" w:rsidRPr="002B6CF8" w:rsidRDefault="002B6CF8" w:rsidP="003C37D4">
            <w:pPr>
              <w:pStyle w:val="TableParagraph"/>
              <w:ind w:left="148" w:right="234"/>
              <w:rPr>
                <w:sz w:val="20"/>
                <w:szCs w:val="20"/>
              </w:rPr>
            </w:pPr>
          </w:p>
          <w:p w14:paraId="46DBA5A5" w14:textId="477215A3" w:rsidR="002B6CF8" w:rsidRDefault="002B6CF8" w:rsidP="00486ACD">
            <w:pPr>
              <w:pStyle w:val="TableParagraph"/>
              <w:ind w:right="234"/>
              <w:rPr>
                <w:b/>
                <w:sz w:val="20"/>
                <w:szCs w:val="20"/>
              </w:rPr>
            </w:pPr>
            <w:r>
              <w:rPr>
                <w:b/>
                <w:sz w:val="20"/>
                <w:szCs w:val="20"/>
              </w:rPr>
              <w:lastRenderedPageBreak/>
              <w:t>Purpose:</w:t>
            </w:r>
          </w:p>
          <w:p w14:paraId="7EB4E67A" w14:textId="3CFC0092" w:rsidR="00832FC7" w:rsidRPr="00832FC7" w:rsidRDefault="00832FC7" w:rsidP="00701DAC">
            <w:pPr>
              <w:pStyle w:val="TableParagraph"/>
              <w:ind w:left="148" w:right="234"/>
              <w:rPr>
                <w:sz w:val="20"/>
                <w:szCs w:val="20"/>
              </w:rPr>
            </w:pPr>
            <w:r w:rsidRPr="00832FC7">
              <w:rPr>
                <w:sz w:val="20"/>
                <w:szCs w:val="20"/>
              </w:rPr>
              <w:t xml:space="preserve">The purpose of this </w:t>
            </w:r>
            <w:r>
              <w:rPr>
                <w:sz w:val="20"/>
                <w:szCs w:val="20"/>
              </w:rPr>
              <w:t>study was to examine co-teaching in inclusive classrooms researching integration techniques. The authors used 32 investigations of co-teaching in inclusive classrooms</w:t>
            </w:r>
            <w:r w:rsidR="00D026B2">
              <w:rPr>
                <w:sz w:val="20"/>
                <w:szCs w:val="20"/>
              </w:rPr>
              <w:t xml:space="preserve"> to complete their study. This study found concerns which should be addressed when co-teaching is in place.</w:t>
            </w:r>
          </w:p>
          <w:p w14:paraId="6F3F7CFA" w14:textId="77777777" w:rsidR="002B6CF8" w:rsidRPr="002B6CF8" w:rsidRDefault="002B6CF8" w:rsidP="00583E18">
            <w:pPr>
              <w:pStyle w:val="TableParagraph"/>
              <w:ind w:left="148" w:right="234"/>
              <w:rPr>
                <w:sz w:val="20"/>
                <w:szCs w:val="20"/>
              </w:rPr>
            </w:pPr>
          </w:p>
        </w:tc>
        <w:tc>
          <w:tcPr>
            <w:tcW w:w="4702" w:type="dxa"/>
          </w:tcPr>
          <w:p w14:paraId="725C9FFE" w14:textId="77777777" w:rsidR="00A37923" w:rsidRDefault="00D026B2" w:rsidP="003C37D4">
            <w:pPr>
              <w:pStyle w:val="TableParagraph"/>
              <w:ind w:left="396" w:right="256"/>
              <w:rPr>
                <w:sz w:val="20"/>
                <w:szCs w:val="20"/>
              </w:rPr>
            </w:pPr>
            <w:r>
              <w:rPr>
                <w:sz w:val="20"/>
                <w:szCs w:val="20"/>
              </w:rPr>
              <w:lastRenderedPageBreak/>
              <w:t>Results included:</w:t>
            </w:r>
          </w:p>
          <w:p w14:paraId="3C16C56A" w14:textId="77777777" w:rsidR="00D026B2" w:rsidRDefault="00D026B2" w:rsidP="00D026B2">
            <w:pPr>
              <w:pStyle w:val="TableParagraph"/>
              <w:numPr>
                <w:ilvl w:val="0"/>
                <w:numId w:val="2"/>
              </w:numPr>
              <w:ind w:right="256"/>
              <w:rPr>
                <w:sz w:val="20"/>
                <w:szCs w:val="20"/>
              </w:rPr>
            </w:pPr>
            <w:r>
              <w:rPr>
                <w:sz w:val="20"/>
                <w:szCs w:val="20"/>
              </w:rPr>
              <w:t>Administrators, teachers, and students perceive co-teaching to be beneficial</w:t>
            </w:r>
          </w:p>
          <w:p w14:paraId="1CFE00A4" w14:textId="77777777" w:rsidR="00D026B2" w:rsidRDefault="00D026B2" w:rsidP="00D026B2">
            <w:pPr>
              <w:pStyle w:val="TableParagraph"/>
              <w:numPr>
                <w:ilvl w:val="0"/>
                <w:numId w:val="2"/>
              </w:numPr>
              <w:ind w:right="256"/>
              <w:rPr>
                <w:sz w:val="20"/>
                <w:szCs w:val="20"/>
              </w:rPr>
            </w:pPr>
            <w:r>
              <w:rPr>
                <w:sz w:val="20"/>
                <w:szCs w:val="20"/>
              </w:rPr>
              <w:t xml:space="preserve">Identification by teachers of </w:t>
            </w:r>
            <w:proofErr w:type="gramStart"/>
            <w:r>
              <w:rPr>
                <w:sz w:val="20"/>
                <w:szCs w:val="20"/>
              </w:rPr>
              <w:t>a number of</w:t>
            </w:r>
            <w:proofErr w:type="gramEnd"/>
            <w:r>
              <w:rPr>
                <w:sz w:val="20"/>
                <w:szCs w:val="20"/>
              </w:rPr>
              <w:t xml:space="preserve"> conditions needed in order to it to succeed</w:t>
            </w:r>
          </w:p>
          <w:p w14:paraId="296D9D94" w14:textId="77777777" w:rsidR="00D026B2" w:rsidRDefault="00D026B2" w:rsidP="00D026B2">
            <w:pPr>
              <w:pStyle w:val="TableParagraph"/>
              <w:numPr>
                <w:ilvl w:val="0"/>
                <w:numId w:val="2"/>
              </w:numPr>
              <w:ind w:right="256"/>
              <w:rPr>
                <w:sz w:val="20"/>
                <w:szCs w:val="20"/>
              </w:rPr>
            </w:pPr>
            <w:r>
              <w:rPr>
                <w:sz w:val="20"/>
                <w:szCs w:val="20"/>
              </w:rPr>
              <w:t xml:space="preserve">It seemed from their study that many times there was a “one </w:t>
            </w:r>
            <w:proofErr w:type="gramStart"/>
            <w:r>
              <w:rPr>
                <w:sz w:val="20"/>
                <w:szCs w:val="20"/>
              </w:rPr>
              <w:t>teach</w:t>
            </w:r>
            <w:proofErr w:type="gramEnd"/>
            <w:r>
              <w:rPr>
                <w:sz w:val="20"/>
                <w:szCs w:val="20"/>
              </w:rPr>
              <w:t>, one assist” model where the special education teacher was most often the one who assisted</w:t>
            </w:r>
          </w:p>
          <w:p w14:paraId="2AF03056" w14:textId="77777777" w:rsidR="00D026B2" w:rsidRDefault="00D026B2" w:rsidP="00D026B2">
            <w:pPr>
              <w:pStyle w:val="TableParagraph"/>
              <w:numPr>
                <w:ilvl w:val="0"/>
                <w:numId w:val="2"/>
              </w:numPr>
              <w:ind w:right="256"/>
              <w:rPr>
                <w:sz w:val="20"/>
                <w:szCs w:val="20"/>
              </w:rPr>
            </w:pPr>
            <w:r>
              <w:rPr>
                <w:sz w:val="20"/>
                <w:szCs w:val="20"/>
              </w:rPr>
              <w:lastRenderedPageBreak/>
              <w:t>General Education teachers taught whole group, teacher led instruction with little individualization</w:t>
            </w:r>
          </w:p>
          <w:p w14:paraId="3246B366" w14:textId="1FAAEB95" w:rsidR="00D026B2" w:rsidRPr="00701DAC" w:rsidRDefault="00D026B2" w:rsidP="00D026B2">
            <w:pPr>
              <w:pStyle w:val="TableParagraph"/>
              <w:numPr>
                <w:ilvl w:val="0"/>
                <w:numId w:val="2"/>
              </w:numPr>
              <w:ind w:right="256"/>
              <w:rPr>
                <w:sz w:val="20"/>
                <w:szCs w:val="20"/>
              </w:rPr>
            </w:pPr>
            <w:r>
              <w:rPr>
                <w:sz w:val="20"/>
                <w:szCs w:val="20"/>
              </w:rPr>
              <w:t>Final findings showed that concerns with co-teaching raised years ago were present in the 32 classes researched</w:t>
            </w:r>
          </w:p>
        </w:tc>
      </w:tr>
      <w:tr w:rsidR="00E25324" w14:paraId="69D7A6F8" w14:textId="77777777">
        <w:trPr>
          <w:trHeight w:val="1257"/>
        </w:trPr>
        <w:tc>
          <w:tcPr>
            <w:tcW w:w="4702" w:type="dxa"/>
          </w:tcPr>
          <w:p w14:paraId="57096B4C" w14:textId="11C4C480" w:rsidR="00E25324" w:rsidRPr="00701DAC" w:rsidRDefault="007B7711" w:rsidP="00701DAC">
            <w:pPr>
              <w:pStyle w:val="TableParagraph"/>
              <w:ind w:left="350" w:right="212"/>
              <w:rPr>
                <w:sz w:val="20"/>
                <w:szCs w:val="20"/>
              </w:rPr>
            </w:pPr>
            <w:r>
              <w:rPr>
                <w:color w:val="222222"/>
                <w:sz w:val="20"/>
                <w:szCs w:val="20"/>
                <w:shd w:val="clear" w:color="auto" w:fill="FFFFFF"/>
              </w:rPr>
              <w:lastRenderedPageBreak/>
              <w:t>Cheatham, G. A., &amp; Ro, Y. E. (2011). Communication between early educators and parents who speak English as a second language A semantic and pragmatic perspective. </w:t>
            </w:r>
            <w:r>
              <w:rPr>
                <w:i/>
                <w:iCs/>
                <w:color w:val="222222"/>
                <w:sz w:val="20"/>
                <w:szCs w:val="20"/>
                <w:shd w:val="clear" w:color="auto" w:fill="FFFFFF"/>
              </w:rPr>
              <w:t>Early Childhood Education Journal</w:t>
            </w:r>
            <w:r>
              <w:rPr>
                <w:color w:val="222222"/>
                <w:sz w:val="20"/>
                <w:szCs w:val="20"/>
                <w:shd w:val="clear" w:color="auto" w:fill="FFFFFF"/>
              </w:rPr>
              <w:t>, </w:t>
            </w:r>
            <w:r>
              <w:rPr>
                <w:i/>
                <w:iCs/>
                <w:color w:val="222222"/>
                <w:sz w:val="20"/>
                <w:szCs w:val="20"/>
                <w:shd w:val="clear" w:color="auto" w:fill="FFFFFF"/>
              </w:rPr>
              <w:t>39</w:t>
            </w:r>
            <w:r>
              <w:rPr>
                <w:color w:val="222222"/>
                <w:sz w:val="20"/>
                <w:szCs w:val="20"/>
                <w:shd w:val="clear" w:color="auto" w:fill="FFFFFF"/>
              </w:rPr>
              <w:t>(4), 249.</w:t>
            </w:r>
          </w:p>
        </w:tc>
        <w:tc>
          <w:tcPr>
            <w:tcW w:w="4702" w:type="dxa"/>
          </w:tcPr>
          <w:p w14:paraId="2DCB1D84" w14:textId="774EAAB8" w:rsidR="00D70A65" w:rsidRPr="00D70A65" w:rsidRDefault="002B6CF8" w:rsidP="00583E18">
            <w:pPr>
              <w:pStyle w:val="TableParagraph"/>
              <w:ind w:left="148" w:right="234"/>
              <w:rPr>
                <w:sz w:val="20"/>
                <w:szCs w:val="20"/>
              </w:rPr>
            </w:pPr>
            <w:r w:rsidRPr="002B6CF8">
              <w:rPr>
                <w:b/>
                <w:sz w:val="20"/>
                <w:szCs w:val="20"/>
              </w:rPr>
              <w:t xml:space="preserve">Competency: </w:t>
            </w:r>
            <w:r w:rsidR="00051192" w:rsidRPr="00051192">
              <w:rPr>
                <w:b/>
                <w:sz w:val="20"/>
                <w:szCs w:val="20"/>
              </w:rPr>
              <w:t>5.6 Promote collaborative practices that respect individual family culture, dynamics, and values and the effect the diagnosis may have on the family.</w:t>
            </w:r>
          </w:p>
          <w:p w14:paraId="6438228C" w14:textId="526B090F" w:rsidR="00942E86" w:rsidRDefault="00486ACD" w:rsidP="00942E86">
            <w:pPr>
              <w:pStyle w:val="TableParagraph"/>
              <w:ind w:left="148" w:right="234"/>
              <w:rPr>
                <w:sz w:val="20"/>
                <w:szCs w:val="20"/>
              </w:rPr>
            </w:pPr>
            <w:r>
              <w:rPr>
                <w:sz w:val="20"/>
                <w:szCs w:val="20"/>
              </w:rPr>
              <w:t xml:space="preserve">Understanding the complicated information regarding disabilities, instruction, IEPs, etc. </w:t>
            </w:r>
            <w:r w:rsidR="004C3893">
              <w:rPr>
                <w:sz w:val="20"/>
                <w:szCs w:val="20"/>
              </w:rPr>
              <w:t>can be difficulty for everyone. If your first language is not English, it can be almost impossible. Teachers MUST do all they can to make sure parents have all</w:t>
            </w:r>
            <w:bookmarkStart w:id="0" w:name="_GoBack"/>
            <w:bookmarkEnd w:id="0"/>
            <w:r w:rsidR="004C3893">
              <w:rPr>
                <w:sz w:val="20"/>
                <w:szCs w:val="20"/>
              </w:rPr>
              <w:t xml:space="preserve"> the information and understand it appropriately.</w:t>
            </w:r>
          </w:p>
          <w:p w14:paraId="21E0DFF5" w14:textId="77777777" w:rsidR="004C3893" w:rsidRPr="00486ACD" w:rsidRDefault="004C3893" w:rsidP="00942E86">
            <w:pPr>
              <w:pStyle w:val="TableParagraph"/>
              <w:ind w:left="148" w:right="234"/>
              <w:rPr>
                <w:sz w:val="20"/>
                <w:szCs w:val="20"/>
              </w:rPr>
            </w:pPr>
          </w:p>
          <w:p w14:paraId="58924DA5" w14:textId="44B322F0" w:rsidR="00942E86" w:rsidRDefault="00942E86" w:rsidP="00942E86">
            <w:pPr>
              <w:pStyle w:val="TableParagraph"/>
              <w:ind w:left="148" w:right="234"/>
              <w:rPr>
                <w:b/>
                <w:sz w:val="20"/>
                <w:szCs w:val="20"/>
              </w:rPr>
            </w:pPr>
            <w:r>
              <w:rPr>
                <w:b/>
                <w:sz w:val="20"/>
                <w:szCs w:val="20"/>
              </w:rPr>
              <w:t>Purpose:</w:t>
            </w:r>
          </w:p>
          <w:p w14:paraId="46DCE431" w14:textId="6DBAF0F3" w:rsidR="00051192" w:rsidRPr="007B7711" w:rsidRDefault="007B7711" w:rsidP="00051192">
            <w:pPr>
              <w:pStyle w:val="TableParagraph"/>
              <w:ind w:left="148" w:right="234"/>
              <w:rPr>
                <w:sz w:val="20"/>
                <w:szCs w:val="20"/>
              </w:rPr>
            </w:pPr>
            <w:r>
              <w:rPr>
                <w:sz w:val="20"/>
                <w:szCs w:val="20"/>
              </w:rPr>
              <w:t xml:space="preserve">The purpose of this article was to discuss communication between early educators speaking English and parents who speak English as a Second Language. </w:t>
            </w:r>
            <w:r w:rsidR="00051192">
              <w:rPr>
                <w:sz w:val="20"/>
                <w:szCs w:val="20"/>
              </w:rPr>
              <w:t xml:space="preserve">The authors discussed concerns that teachers need to remember </w:t>
            </w:r>
            <w:proofErr w:type="gramStart"/>
            <w:r w:rsidR="00051192">
              <w:rPr>
                <w:sz w:val="20"/>
                <w:szCs w:val="20"/>
              </w:rPr>
              <w:t>in order to</w:t>
            </w:r>
            <w:proofErr w:type="gramEnd"/>
            <w:r w:rsidR="00051192">
              <w:rPr>
                <w:sz w:val="20"/>
                <w:szCs w:val="20"/>
              </w:rPr>
              <w:t xml:space="preserve"> help parents understand crucial information.</w:t>
            </w:r>
          </w:p>
          <w:p w14:paraId="0B3B3344" w14:textId="77777777" w:rsidR="004932E7" w:rsidRPr="00942E86" w:rsidRDefault="004932E7" w:rsidP="00583E18">
            <w:pPr>
              <w:pStyle w:val="TableParagraph"/>
              <w:ind w:left="148" w:right="234"/>
              <w:rPr>
                <w:sz w:val="20"/>
                <w:szCs w:val="20"/>
              </w:rPr>
            </w:pPr>
          </w:p>
        </w:tc>
        <w:tc>
          <w:tcPr>
            <w:tcW w:w="4702" w:type="dxa"/>
          </w:tcPr>
          <w:p w14:paraId="792A60FC" w14:textId="2C98D167" w:rsidR="00E25324" w:rsidRPr="00701DAC" w:rsidRDefault="00051192" w:rsidP="00D70A65">
            <w:pPr>
              <w:pStyle w:val="TableParagraph"/>
              <w:ind w:left="216" w:right="256"/>
              <w:rPr>
                <w:sz w:val="20"/>
                <w:szCs w:val="20"/>
              </w:rPr>
            </w:pPr>
            <w:r>
              <w:rPr>
                <w:sz w:val="20"/>
                <w:szCs w:val="20"/>
              </w:rPr>
              <w:t>ESL</w:t>
            </w:r>
            <w:r>
              <w:rPr>
                <w:sz w:val="20"/>
                <w:szCs w:val="20"/>
              </w:rPr>
              <w:t xml:space="preserve"> parents have difficulties understanding certain aspects of English and when discussing their child’s education, including special needs, IEPs, etc. they often miss </w:t>
            </w:r>
            <w:r>
              <w:rPr>
                <w:sz w:val="20"/>
                <w:szCs w:val="20"/>
              </w:rPr>
              <w:t>important</w:t>
            </w:r>
            <w:r>
              <w:rPr>
                <w:sz w:val="20"/>
                <w:szCs w:val="20"/>
              </w:rPr>
              <w:t xml:space="preserve"> information. It’s important for teachers to make sure parents</w:t>
            </w:r>
            <w:r>
              <w:rPr>
                <w:sz w:val="20"/>
                <w:szCs w:val="20"/>
              </w:rPr>
              <w:t xml:space="preserve"> of their students</w:t>
            </w:r>
            <w:r>
              <w:rPr>
                <w:sz w:val="20"/>
                <w:szCs w:val="20"/>
              </w:rPr>
              <w:t xml:space="preserve"> who speak other languages understand </w:t>
            </w:r>
            <w:proofErr w:type="gramStart"/>
            <w:r>
              <w:rPr>
                <w:sz w:val="20"/>
                <w:szCs w:val="20"/>
              </w:rPr>
              <w:t>all of</w:t>
            </w:r>
            <w:proofErr w:type="gramEnd"/>
            <w:r>
              <w:rPr>
                <w:sz w:val="20"/>
                <w:szCs w:val="20"/>
              </w:rPr>
              <w:t xml:space="preserve"> the information.</w:t>
            </w:r>
          </w:p>
        </w:tc>
      </w:tr>
    </w:tbl>
    <w:p w14:paraId="112D6904" w14:textId="77777777" w:rsidR="000E2A6E" w:rsidRDefault="000E2A6E"/>
    <w:sectPr w:rsidR="000E2A6E">
      <w:type w:val="continuous"/>
      <w:pgSz w:w="15840" w:h="12240" w:orient="landscape"/>
      <w:pgMar w:top="580" w:right="9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4683"/>
    <w:multiLevelType w:val="hybridMultilevel"/>
    <w:tmpl w:val="9588E928"/>
    <w:lvl w:ilvl="0" w:tplc="AA52ABB4">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382E7FF4"/>
    <w:multiLevelType w:val="hybridMultilevel"/>
    <w:tmpl w:val="1A52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24"/>
    <w:rsid w:val="00000A59"/>
    <w:rsid w:val="00051192"/>
    <w:rsid w:val="000717DD"/>
    <w:rsid w:val="000E2A6E"/>
    <w:rsid w:val="00177715"/>
    <w:rsid w:val="00223BC0"/>
    <w:rsid w:val="00237922"/>
    <w:rsid w:val="002B6CF8"/>
    <w:rsid w:val="002F36E5"/>
    <w:rsid w:val="0036271E"/>
    <w:rsid w:val="003C37D4"/>
    <w:rsid w:val="004011F6"/>
    <w:rsid w:val="00486ACD"/>
    <w:rsid w:val="004932E7"/>
    <w:rsid w:val="004C3893"/>
    <w:rsid w:val="004E1F20"/>
    <w:rsid w:val="00583E18"/>
    <w:rsid w:val="00594572"/>
    <w:rsid w:val="00594E48"/>
    <w:rsid w:val="00701DAC"/>
    <w:rsid w:val="007247D2"/>
    <w:rsid w:val="007B7711"/>
    <w:rsid w:val="00832FC7"/>
    <w:rsid w:val="00921A88"/>
    <w:rsid w:val="00924201"/>
    <w:rsid w:val="00942E86"/>
    <w:rsid w:val="00987475"/>
    <w:rsid w:val="009E63B5"/>
    <w:rsid w:val="00A37629"/>
    <w:rsid w:val="00A37923"/>
    <w:rsid w:val="00AB6886"/>
    <w:rsid w:val="00AD57E5"/>
    <w:rsid w:val="00CC656E"/>
    <w:rsid w:val="00CC68CB"/>
    <w:rsid w:val="00D026B2"/>
    <w:rsid w:val="00D70A65"/>
    <w:rsid w:val="00DE7982"/>
    <w:rsid w:val="00E25324"/>
    <w:rsid w:val="00EB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ADA"/>
  <w15:docId w15:val="{998E2FF6-CE4A-404E-A4DC-C50EF8CA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00A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000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0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dparker3</dc:creator>
  <cp:lastModifiedBy>dparker3@wcpschools.wcpss.local</cp:lastModifiedBy>
  <cp:revision>3</cp:revision>
  <dcterms:created xsi:type="dcterms:W3CDTF">2018-03-12T19:09:00Z</dcterms:created>
  <dcterms:modified xsi:type="dcterms:W3CDTF">2018-03-13T00:07:00Z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18 for Word</vt:lpwstr>
  </property>
  <property fmtid="{D5CDD505-2E9C-101B-9397-08002B2CF9AE}" pid="4" name="LastSaved">
    <vt:filetime>2018-02-02T00:00:00Z</vt:filetime>
  </property>
</Properties>
</file>